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-141.73228346456676" w:right="-846.3307086614159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fu5eofj5rmph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VI - FORMULÁRIO DE BUSCA DE ANTERIORIDADE</w:t>
      </w:r>
    </w:p>
    <w:p w:rsidR="00000000" w:rsidDel="00000000" w:rsidP="00000000" w:rsidRDefault="00000000" w:rsidRPr="00000000" w14:paraId="00000003">
      <w:pPr>
        <w:ind w:left="-141.73228346456688" w:firstLine="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w0bnl6ltcw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IDENTIFICAÇÃO DO PROJETO PARA BUSCA DE ANTERIORIDADE</w:t>
      </w:r>
    </w:p>
    <w:tbl>
      <w:tblPr>
        <w:tblStyle w:val="Table1"/>
        <w:tblW w:w="9405.0" w:type="dxa"/>
        <w:jc w:val="left"/>
        <w:tblInd w:w="-108.0" w:type="dxa"/>
        <w:tblLayout w:type="fixed"/>
        <w:tblLook w:val="0400"/>
      </w:tblPr>
      <w:tblGrid>
        <w:gridCol w:w="2775"/>
        <w:gridCol w:w="2820"/>
        <w:gridCol w:w="3810"/>
        <w:tblGridChange w:id="0">
          <w:tblGrid>
            <w:gridCol w:w="2775"/>
            <w:gridCol w:w="2820"/>
            <w:gridCol w:w="3810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da PI: 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.82470703124994" w:hRule="atLeast"/>
          <w:tblHeader w:val="0"/>
        </w:trPr>
        <w:tc>
          <w:tcPr>
            <w:gridSpan w:val="3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Grau de Inovação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na empresa</w:t>
            </w:r>
          </w:p>
          <w:p w:rsidR="00000000" w:rsidDel="00000000" w:rsidP="00000000" w:rsidRDefault="00000000" w:rsidRPr="00000000" w14:paraId="0000000C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no Mundo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na Estado</w:t>
            </w:r>
          </w:p>
          <w:p w:rsidR="00000000" w:rsidDel="00000000" w:rsidP="00000000" w:rsidRDefault="00000000" w:rsidRPr="00000000" w14:paraId="0000000F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no já existente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Inovador no Brasil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Não há inovação</w:t>
            </w:r>
          </w:p>
          <w:p w:rsidR="00000000" w:rsidDel="00000000" w:rsidP="00000000" w:rsidRDefault="00000000" w:rsidRPr="00000000" w14:paraId="00000013">
            <w:pPr>
              <w:spacing w:after="160" w:before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after="200" w:before="301" w:line="240" w:lineRule="auto"/>
        <w:ind w:left="-141.7322834645667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PERCURSO DA PESQUISA</w:t>
      </w:r>
    </w:p>
    <w:p w:rsidR="00000000" w:rsidDel="00000000" w:rsidP="00000000" w:rsidRDefault="00000000" w:rsidRPr="00000000" w14:paraId="00000015">
      <w:pPr>
        <w:spacing w:after="200" w:lineRule="auto"/>
        <w:ind w:left="-141.7322834645667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 Aviso importante sobre Busca Patentária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141.73228346456676" w:right="-704.598425196849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busca prévia de anterioridade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é uma amostragem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 não verifica os documentos de patentes que estão em período de sigilo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partir da data de pedido de depósito, nos escritórios oficiais, que é de 18 meses. Portanto, se algum documento similar ou igual estiver no período de sigilo, vale o recurso para o primeiro depositante. </w:t>
      </w:r>
    </w:p>
    <w:p w:rsidR="00000000" w:rsidDel="00000000" w:rsidP="00000000" w:rsidRDefault="00000000" w:rsidRPr="00000000" w14:paraId="00000017">
      <w:pPr>
        <w:spacing w:line="360" w:lineRule="auto"/>
        <w:ind w:left="-141.73228346456676" w:right="-704.598425196849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Busca Patentária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 garante a abrangência do campo de pesquisa bibliográfica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totalidade da literatura técnica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publicada no mundo.</w:t>
      </w:r>
    </w:p>
    <w:p w:rsidR="00000000" w:rsidDel="00000000" w:rsidP="00000000" w:rsidRDefault="00000000" w:rsidRPr="00000000" w14:paraId="00000018">
      <w:pPr>
        <w:spacing w:after="200" w:line="360" w:lineRule="auto"/>
        <w:ind w:left="-141.73228346456676" w:right="-704.598425196849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Busca Patentária também possibilita localizar documentos de registro de patentes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 sejam similares e que possam servir de “modelo”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a escrita da patente desejada e, da mesma forma,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identificar as áreas tecnológicas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que a patente pertence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consulte a classificação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-108.0" w:type="dxa"/>
        <w:tblLayout w:type="fixed"/>
        <w:tblLook w:val="04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19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Banco e Bases de Dados: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Instituto Nacional de Propriedade Industrial - INPI</w:t>
            </w:r>
          </w:p>
          <w:p w:rsidR="00000000" w:rsidDel="00000000" w:rsidP="00000000" w:rsidRDefault="00000000" w:rsidRPr="00000000" w14:paraId="0000001A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http://www.inpi.gov.br/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bottom w:w="55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Classificação de patente: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-108.0" w:type="dxa"/>
        <w:tblLayout w:type="fixed"/>
        <w:tblLook w:val="04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Banco e Bases de Dados: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Google Patents – </w:t>
            </w:r>
          </w:p>
          <w:p w:rsidR="00000000" w:rsidDel="00000000" w:rsidP="00000000" w:rsidRDefault="00000000" w:rsidRPr="00000000" w14:paraId="00000021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http://patents.google.com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Classificação de patente: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4.0" w:type="dxa"/>
        <w:jc w:val="left"/>
        <w:tblInd w:w="-84.00000000000009" w:type="dxa"/>
        <w:tblLayout w:type="fixed"/>
        <w:tblLook w:val="0400"/>
      </w:tblPr>
      <w:tblGrid>
        <w:gridCol w:w="9384"/>
        <w:tblGridChange w:id="0">
          <w:tblGrid>
            <w:gridCol w:w="93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0" w:before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Banco e Bases de Dados: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Espace Net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00" w:before="0" w:line="240" w:lineRule="auto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https://worldwide.espacenet.com/advancedSearch?locale=en_EP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240" w:line="240" w:lineRule="auto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https://worldwide.espacenet.com/patent/search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240" w:line="240" w:lineRule="auto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https://lp.espacenet.com/advancedSearch?locale=pt_LP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Classificação de patente: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6.0" w:type="dxa"/>
        <w:jc w:val="left"/>
        <w:tblInd w:w="-108.0" w:type="dxa"/>
        <w:tblLayout w:type="fixed"/>
        <w:tblLook w:val="0400"/>
      </w:tblPr>
      <w:tblGrid>
        <w:gridCol w:w="9366"/>
        <w:tblGridChange w:id="0">
          <w:tblGrid>
            <w:gridCol w:w="936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Banco e Bases de Dados: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Outras [nome]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Classificação de patente: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after="0" w:before="3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AVALIAÇÃO DE ANTERIORIDADE</w:t>
      </w:r>
      <w:r w:rsidDel="00000000" w:rsidR="00000000" w:rsidRPr="00000000">
        <w:rPr>
          <w:rtl w:val="0"/>
        </w:rPr>
      </w:r>
    </w:p>
    <w:tbl>
      <w:tblPr>
        <w:tblStyle w:val="Table6"/>
        <w:tblW w:w="9501.000000000002" w:type="dxa"/>
        <w:jc w:val="left"/>
        <w:tblInd w:w="-108.0" w:type="dxa"/>
        <w:tblLayout w:type="fixed"/>
        <w:tblLook w:val="0400"/>
      </w:tblPr>
      <w:tblGrid>
        <w:gridCol w:w="1605"/>
        <w:gridCol w:w="1305"/>
        <w:gridCol w:w="780"/>
        <w:gridCol w:w="1965"/>
        <w:gridCol w:w="465"/>
        <w:gridCol w:w="1410"/>
        <w:gridCol w:w="1971.0000000000014"/>
        <w:tblGridChange w:id="0">
          <w:tblGrid>
            <w:gridCol w:w="1605"/>
            <w:gridCol w:w="1305"/>
            <w:gridCol w:w="780"/>
            <w:gridCol w:w="1965"/>
            <w:gridCol w:w="465"/>
            <w:gridCol w:w="1410"/>
            <w:gridCol w:w="1971.0000000000014"/>
          </w:tblGrid>
        </w:tblGridChange>
      </w:tblGrid>
      <w:tr>
        <w:trPr>
          <w:cantSplit w:val="0"/>
          <w:trHeight w:val="20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pela Pesquisa de Anterioridade</w:t>
            </w:r>
          </w:p>
          <w:p w:rsidR="00000000" w:rsidDel="00000000" w:rsidP="00000000" w:rsidRDefault="00000000" w:rsidRPr="00000000" w14:paraId="00000036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41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da Pesquisa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da Busca em Base de Patentes/Marcas Nacional e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60"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Segundo sua pesquisa, foram encontradas anterioridades?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Sim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Não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da Patente/Marca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60" w:before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da Busca em Periódicos Científicos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Autores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e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e Data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60"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before="3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DETALHAMENTO DA PESQUISA DE ANTERIORIDADE</w:t>
      </w:r>
    </w:p>
    <w:tbl>
      <w:tblPr>
        <w:tblStyle w:val="Table7"/>
        <w:tblW w:w="9453.0" w:type="dxa"/>
        <w:jc w:val="left"/>
        <w:tblInd w:w="-108.0" w:type="dxa"/>
        <w:tblLayout w:type="fixed"/>
        <w:tblLook w:val="0400"/>
      </w:tblPr>
      <w:tblGrid>
        <w:gridCol w:w="9453"/>
        <w:tblGridChange w:id="0">
          <w:tblGrid>
            <w:gridCol w:w="945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Descrever, se for o caso, os principais pontos relevantes encontrados na Busca de Anterioridade.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widowControl w:val="0"/>
      <w:spacing w:after="0" w:line="240" w:lineRule="auto"/>
      <w:ind w:left="-141.73228346456676" w:right="-846.3307086614159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widowControl w:val="0"/>
      <w:spacing w:after="0" w:before="65" w:line="348" w:lineRule="auto"/>
      <w:ind w:left="-141.73228346456676" w:right="-846.3307086614159" w:firstLine="0"/>
      <w:jc w:val="center"/>
      <w:rPr>
        <w:rFonts w:ascii="Arial" w:cs="Arial" w:eastAsia="Arial" w:hAnsi="Arial"/>
        <w:b w:val="1"/>
        <w:sz w:val="13"/>
        <w:szCs w:val="13"/>
      </w:rPr>
    </w:pPr>
    <w:r w:rsidDel="00000000" w:rsidR="00000000" w:rsidRPr="00000000">
      <w:rPr>
        <w:rFonts w:ascii="Arial" w:cs="Arial" w:eastAsia="Arial" w:hAnsi="Arial"/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0C2">
    <w:pPr>
      <w:widowControl w:val="0"/>
      <w:spacing w:after="0" w:line="348" w:lineRule="auto"/>
      <w:ind w:left="-141.73228346456676" w:right="-846.3307086614159" w:firstLine="0"/>
      <w:jc w:val="center"/>
      <w:rPr>
        <w:rFonts w:ascii="Arial" w:cs="Arial" w:eastAsia="Arial" w:hAnsi="Arial"/>
        <w:b w:val="1"/>
        <w:sz w:val="13"/>
        <w:szCs w:val="13"/>
      </w:rPr>
    </w:pPr>
    <w:r w:rsidDel="00000000" w:rsidR="00000000" w:rsidRPr="00000000">
      <w:rPr>
        <w:rFonts w:ascii="Arial" w:cs="Arial" w:eastAsia="Arial" w:hAnsi="Arial"/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C3">
    <w:pPr>
      <w:widowControl w:val="0"/>
      <w:spacing w:after="0" w:line="348" w:lineRule="auto"/>
      <w:ind w:left="-141.73228346456676" w:right="-846.3307086614159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D05C9F"/>
    <w:rPr/>
  </w:style>
  <w:style w:type="character" w:styleId="RodapChar" w:customStyle="1">
    <w:name w:val="Rodapé Char"/>
    <w:basedOn w:val="DefaultParagraphFont"/>
    <w:uiPriority w:val="99"/>
    <w:qFormat w:val="1"/>
    <w:rsid w:val="00D05C9F"/>
    <w:rPr/>
  </w:style>
  <w:style w:type="character" w:styleId="InternetLink">
    <w:name w:val="Internet Link"/>
    <w:basedOn w:val="DefaultParagraphFont"/>
    <w:uiPriority w:val="99"/>
    <w:qFormat w:val="1"/>
    <w:rsid w:val="006E6A6F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 w:val="1"/>
    <w:rsid w:val="006E6A6F"/>
    <w:rPr/>
  </w:style>
  <w:style w:type="character" w:styleId="nested-value" w:customStyle="1">
    <w:name w:val="nested-value"/>
    <w:basedOn w:val="DefaultParagraphFont"/>
    <w:qFormat w:val="1"/>
    <w:rsid w:val="006E6A6F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Cabealhoerodap1">
    <w:name w:val="Cabeçalho e rodapé1"/>
    <w:basedOn w:val="Normal"/>
    <w:qFormat w:val="1"/>
    <w:pPr/>
    <w:rPr/>
  </w:style>
  <w:style w:type="paragraph" w:styleId="Cabealhoerodap2">
    <w:name w:val="Cabeçalho e rodapé2"/>
    <w:basedOn w:val="Normal"/>
    <w:qFormat w:val="1"/>
    <w:pPr/>
    <w:rPr/>
  </w:style>
  <w:style w:type="paragraph" w:styleId="Header">
    <w:name w:val="header"/>
    <w:basedOn w:val="normal1"/>
    <w:link w:val="CabealhoChar"/>
    <w:uiPriority w:val="99"/>
    <w:unhideWhenUsed w:val="1"/>
    <w:rsid w:val="00D05C9F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1"/>
    <w:link w:val="RodapChar"/>
    <w:uiPriority w:val="99"/>
    <w:unhideWhenUsed w:val="1"/>
    <w:rsid w:val="00D05C9F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ListParagraph">
    <w:name w:val="List Paragraph"/>
    <w:basedOn w:val="normal1"/>
    <w:uiPriority w:val="34"/>
    <w:qFormat w:val="1"/>
    <w:rsid w:val="006E1620"/>
    <w:pPr>
      <w:spacing w:after="160" w:before="0"/>
      <w:ind w:left="720"/>
      <w:contextualSpacing w:val="1"/>
    </w:pPr>
    <w:rPr>
      <w:rFonts w:ascii="Century Gothic" w:hAnsi="Century Gothic"/>
      <w:sz w:val="24"/>
    </w:rPr>
  </w:style>
  <w:style w:type="paragraph" w:styleId="Padro" w:customStyle="1">
    <w:name w:val="Padrão"/>
    <w:qFormat w:val="1"/>
    <w:rsid w:val="006E1620"/>
    <w:pPr>
      <w:widowControl w:val="1"/>
      <w:tabs>
        <w:tab w:val="clear" w:pos="720"/>
        <w:tab w:val="left" w:leader="none" w:pos="708"/>
      </w:tabs>
      <w:suppressAutoHyphens w:val="1"/>
      <w:bidi w:val="0"/>
      <w:spacing w:after="200" w:before="0" w:line="276" w:lineRule="auto"/>
      <w:jc w:val="left"/>
    </w:pPr>
    <w:rPr>
      <w:rFonts w:ascii="Calibri" w:cs="Times New Roman" w:eastAsia="Droid Sans" w:hAnsi="Calibri"/>
      <w:color w:val="auto"/>
      <w:kern w:val="0"/>
      <w:sz w:val="22"/>
      <w:szCs w:val="22"/>
      <w:lang w:bidi="hi-IN" w:eastAsia="zh-CN" w:val="pt-BR"/>
    </w:rPr>
  </w:style>
  <w:style w:type="paragraph" w:styleId="pretextuais" w:customStyle="1">
    <w:name w:val="pretextuais"/>
    <w:basedOn w:val="normal1"/>
    <w:qFormat w:val="1"/>
    <w:rsid w:val="006E1620"/>
    <w:pPr>
      <w:spacing w:after="120" w:before="120" w:line="360" w:lineRule="auto"/>
      <w:jc w:val="center"/>
    </w:pPr>
    <w:rPr>
      <w:rFonts w:ascii="Times New Roman" w:cs="Times New Roman" w:eastAsia="Calibri" w:hAnsi="Times New Roman"/>
      <w:b w:val="1"/>
      <w:caps w:val="1"/>
      <w:sz w:val="24"/>
    </w:rPr>
  </w:style>
  <w:style w:type="paragraph" w:styleId="Default" w:customStyle="1">
    <w:name w:val="Default"/>
    <w:qFormat w:val="1"/>
    <w:rsid w:val="006E6A6F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Calibri" w:eastAsia="Calibri" w:hAnsi="Calibri"/>
      <w:color w:val="000000"/>
      <w:kern w:val="0"/>
      <w:sz w:val="24"/>
      <w:szCs w:val="24"/>
      <w:lang w:bidi="hi-IN" w:eastAsia="zh-CN" w:val="pt-BR"/>
    </w:rPr>
  </w:style>
  <w:style w:type="paragraph" w:styleId="navbar-text" w:customStyle="1">
    <w:name w:val="navbar-text"/>
    <w:basedOn w:val="normal1"/>
    <w:qFormat w:val="1"/>
    <w:rsid w:val="006E6A6F"/>
    <w:pPr>
      <w:spacing w:afterAutospacing="1" w:beforeAutospacing="1" w:line="240" w:lineRule="auto"/>
    </w:pPr>
    <w:rPr>
      <w:rFonts w:ascii="Times" w:hAnsi="Times"/>
      <w:sz w:val="20"/>
      <w:szCs w:val="20"/>
      <w:lang w:val="en-US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2573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orldwide.espacenet.com/patent/search" TargetMode="External"/><Relationship Id="rId10" Type="http://schemas.openxmlformats.org/officeDocument/2006/relationships/hyperlink" Target="https://worldwide.espacenet.com/advancedSearch?locale=en_EP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lp.espacenet.com/advancedSearch?locale=pt_L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atents.google.com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ipc.inpi.gov.br/classifications/ipc/ipcpub/?notion=scheme&amp;version=20250101&amp;symbol=none&amp;menulang=pt&amp;lang=pt&amp;viewmode=f&amp;fipcpc=no&amp;showdeleted=yes&amp;indexes=no&amp;headings=yes&amp;notes=yes&amp;direction=o2n&amp;initial=A&amp;cwid=none&amp;tree=no&amp;searchmode=smart" TargetMode="External"/><Relationship Id="rId8" Type="http://schemas.openxmlformats.org/officeDocument/2006/relationships/hyperlink" Target="http://www.inpi.gov.br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SRBUWjWCKQjySoRNA9AFbFbhA==">CgMxLjAyDmguZnU1ZW9majVybXBoMg1oLncwYm5sNmx0Y3dzOAByITE5VW1mVXhLTWhoUE5GUWNzeERhYnBhcW1yU25yMnYxMA==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2019-01-07T15:18:00Z</dcterms:created>
  <dc:creator>Thiego Brandão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